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w:t>
      </w:r>
      <w:r w:rsidDel="00000000" w:rsidR="00000000" w:rsidRPr="00000000">
        <w:rPr>
          <w:b w:val="1"/>
          <w:sz w:val="22"/>
          <w:szCs w:val="22"/>
          <w:rtl w:val="0"/>
        </w:rPr>
        <w:t xml:space="preserve">ULO</w:t>
      </w:r>
      <w:r w:rsidDel="00000000" w:rsidR="00000000" w:rsidRPr="00000000">
        <w:rPr>
          <w:b w:val="1"/>
          <w:i w:val="0"/>
          <w:smallCaps w:val="0"/>
          <w:strike w:val="0"/>
          <w:color w:val="000000"/>
          <w:sz w:val="22"/>
          <w:szCs w:val="22"/>
          <w:u w:val="none"/>
          <w:shd w:fill="auto" w:val="clear"/>
          <w:vertAlign w:val="baseline"/>
          <w:rtl w:val="0"/>
        </w:rPr>
        <w:t xml:space="preserve"> DICHIARAZIONE RATING DI LEGALITÀ - BANDO </w:t>
      </w:r>
      <w:r w:rsidDel="00000000" w:rsidR="00000000" w:rsidRPr="00000000">
        <w:rPr>
          <w:b w:val="1"/>
          <w:sz w:val="22"/>
          <w:szCs w:val="22"/>
          <w:rtl w:val="0"/>
        </w:rPr>
        <w:t xml:space="preserve">TURISMO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sensi della Delibera AGCM del 14 novembre 2012, n. 24075 e s.m.i. “Regolamento attuativo in materia di </w:t>
      </w:r>
      <w:r w:rsidDel="00000000" w:rsidR="00000000" w:rsidRPr="00000000">
        <w:rPr>
          <w:i w:val="1"/>
          <w:smallCaps w:val="0"/>
          <w:strike w:val="0"/>
          <w:color w:val="000000"/>
          <w:sz w:val="22"/>
          <w:szCs w:val="22"/>
          <w:u w:val="none"/>
          <w:shd w:fill="auto" w:val="clear"/>
          <w:vertAlign w:val="baseline"/>
          <w:rtl w:val="0"/>
        </w:rPr>
        <w:t xml:space="preserve">rating </w:t>
      </w:r>
      <w:r w:rsidDel="00000000" w:rsidR="00000000" w:rsidRPr="00000000">
        <w:rPr>
          <w:i w:val="0"/>
          <w:smallCaps w:val="0"/>
          <w:strike w:val="0"/>
          <w:color w:val="000000"/>
          <w:sz w:val="22"/>
          <w:szCs w:val="22"/>
          <w:u w:val="none"/>
          <w:shd w:fill="auto" w:val="clear"/>
          <w:vertAlign w:val="baseline"/>
          <w:rtl w:val="0"/>
        </w:rPr>
        <w:t xml:space="preserve">di legalità” (di seguito “Il Regolamento AGCM”) e del Decreto 20 febbraio 2014, n. 57 - MEF-MISE “Regolamento concernente l’individuazione delle modalità in base alle quali si tiene conto del rating di legalità attribuito alle imprese ai fini della concessione di finanziamenti”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________________________________________________________________________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C.F.__________________________ nato/a a __________________________ il ______________________</w:t>
      </w:r>
      <w:r w:rsidDel="00000000" w:rsidR="00000000" w:rsidRPr="00000000">
        <w:rPr>
          <w:sz w:val="22"/>
          <w:szCs w:val="22"/>
          <w:rtl w:val="0"/>
        </w:rPr>
        <w:t xml:space="preserve">_</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sotto la propria personale responsabilità e </w:t>
      </w:r>
      <w:r w:rsidDel="00000000" w:rsidR="00000000" w:rsidRPr="00000000">
        <w:rPr>
          <w:sz w:val="22"/>
          <w:szCs w:val="22"/>
          <w:rtl w:val="0"/>
        </w:rPr>
        <w:t xml:space="preserve">in qualità di Titolare/Legale rappresentante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dell'impresa _______________________________________________________________________________________ con</w:t>
      </w:r>
      <w:r w:rsidDel="00000000" w:rsidR="00000000" w:rsidRPr="00000000">
        <w:rPr>
          <w:i w:val="0"/>
          <w:smallCaps w:val="0"/>
          <w:strike w:val="0"/>
          <w:color w:val="000000"/>
          <w:sz w:val="22"/>
          <w:szCs w:val="22"/>
          <w:u w:val="none"/>
          <w:shd w:fill="auto" w:val="clear"/>
          <w:vertAlign w:val="baseline"/>
          <w:rtl w:val="0"/>
        </w:rPr>
        <w:t xml:space="preserve"> sede legale in ______________________________ C.F._________________________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fini del corretto svolgimento dell’istruttoria</w:t>
      </w:r>
      <w:r w:rsidDel="00000000" w:rsidR="00000000" w:rsidRPr="00000000">
        <w:rPr>
          <w:sz w:val="22"/>
          <w:szCs w:val="22"/>
          <w:rtl w:val="0"/>
        </w:rPr>
        <w:t xml:space="preserve"> e per fruire della premialità - di cui all’art. 3, punto 5, del Bando - per le imprese in possesso del rating di legalità,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 all’impresa è stato attribuito il rating di legalità con il punteggio di _____ </w:t>
      </w:r>
      <w:r w:rsidDel="00000000" w:rsidR="00000000" w:rsidRPr="00000000">
        <w:rPr>
          <w:sz w:val="22"/>
          <w:szCs w:val="22"/>
          <w:rtl w:val="0"/>
        </w:rPr>
        <w:t xml:space="preserve">stelle</w:t>
      </w:r>
      <w:r w:rsidDel="00000000" w:rsidR="00000000" w:rsidRPr="00000000">
        <w:rPr>
          <w:i w:val="0"/>
          <w:smallCaps w:val="0"/>
          <w:strike w:val="0"/>
          <w:color w:val="000000"/>
          <w:sz w:val="22"/>
          <w:szCs w:val="22"/>
          <w:u w:val="none"/>
          <w:shd w:fill="auto" w:val="clear"/>
          <w:vertAlign w:val="baseline"/>
          <w:rtl w:val="0"/>
        </w:rPr>
        <w:t xml:space="preserve"> previsto dall’art. 3 della citata Delibera e che il rating è ancora valido (non risulta scaduto, sospeso o revocato).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120" w:lineRule="auto"/>
        <w:ind w:hanging="2"/>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120" w:lineRule="auto"/>
        <w:ind w:hanging="2"/>
        <w:jc w:val="center"/>
        <w:rPr>
          <w:rFonts w:ascii="Times New Roman" w:cs="Times New Roman" w:eastAsia="Times New Roman" w:hAnsi="Times New Roman"/>
          <w:b w:val="1"/>
          <w:i w:val="1"/>
          <w:sz w:val="18"/>
          <w:szCs w:val="18"/>
        </w:rPr>
      </w:pPr>
      <w:r w:rsidDel="00000000" w:rsidR="00000000" w:rsidRPr="00000000">
        <w:rPr>
          <w:rFonts w:ascii="Verdana" w:cs="Verdana" w:eastAsia="Verdana" w:hAnsi="Verdana"/>
          <w:b w:val="1"/>
          <w:sz w:val="24"/>
          <w:szCs w:val="24"/>
          <w:rtl w:val="0"/>
        </w:rPr>
        <w:t xml:space="preserve">_____________________________________________</w:t>
      </w:r>
      <w:r w:rsidDel="00000000" w:rsidR="00000000" w:rsidRPr="00000000">
        <w:rPr>
          <w:rtl w:val="0"/>
        </w:rPr>
      </w:r>
    </w:p>
    <w:p w:rsidR="00000000" w:rsidDel="00000000" w:rsidP="00000000" w:rsidRDefault="00000000" w:rsidRPr="00000000" w14:paraId="00000018">
      <w:pPr>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19">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Turismo 2020</w:t>
      </w:r>
    </w:p>
    <w:p w:rsidR="00000000" w:rsidDel="00000000" w:rsidP="00000000" w:rsidRDefault="00000000" w:rsidRPr="00000000" w14:paraId="0000001A">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1B">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1C">
      <w:pPr>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Turismo 2020</w:t>
      </w:r>
      <w:r w:rsidDel="00000000" w:rsidR="00000000" w:rsidRPr="00000000">
        <w:rPr>
          <w:sz w:val="16"/>
          <w:szCs w:val="16"/>
          <w:highlight w:val="white"/>
          <w:rtl w:val="0"/>
        </w:rPr>
        <w:t xml:space="preserve">.</w:t>
      </w:r>
    </w:p>
    <w:p w:rsidR="00000000" w:rsidDel="00000000" w:rsidP="00000000" w:rsidRDefault="00000000" w:rsidRPr="00000000" w14:paraId="0000001D">
      <w:pPr>
        <w:jc w:val="both"/>
        <w:rPr>
          <w:sz w:val="16"/>
          <w:szCs w:val="16"/>
          <w:highlight w:val="white"/>
        </w:rPr>
      </w:pPr>
      <w:r w:rsidDel="00000000" w:rsidR="00000000" w:rsidRPr="00000000">
        <w:rPr>
          <w:rtl w:val="0"/>
        </w:rPr>
      </w:r>
    </w:p>
    <w:p w:rsidR="00000000" w:rsidDel="00000000" w:rsidP="00000000" w:rsidRDefault="00000000" w:rsidRPr="00000000" w14:paraId="0000001E">
      <w:pPr>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1F">
      <w:pPr>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20">
      <w:pPr>
        <w:jc w:val="both"/>
        <w:rPr>
          <w:sz w:val="16"/>
          <w:szCs w:val="16"/>
        </w:rPr>
      </w:pPr>
      <w:r w:rsidDel="00000000" w:rsidR="00000000" w:rsidRPr="00000000">
        <w:rPr>
          <w:rtl w:val="0"/>
        </w:rPr>
      </w:r>
    </w:p>
    <w:p w:rsidR="00000000" w:rsidDel="00000000" w:rsidP="00000000" w:rsidRDefault="00000000" w:rsidRPr="00000000" w14:paraId="00000021">
      <w:pPr>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2">
      <w:pPr>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3">
      <w:pPr>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4">
      <w:pPr>
        <w:numPr>
          <w:ilvl w:val="0"/>
          <w:numId w:val="4"/>
        </w:numPr>
        <w:ind w:left="720" w:hanging="360"/>
        <w:jc w:val="both"/>
        <w:rPr>
          <w:sz w:val="16"/>
          <w:szCs w:val="16"/>
        </w:rPr>
      </w:pPr>
      <w:r w:rsidDel="00000000" w:rsidR="00000000" w:rsidRPr="00000000">
        <w:rPr>
          <w:sz w:val="16"/>
          <w:szCs w:val="16"/>
          <w:rtl w:val="0"/>
        </w:rPr>
        <w:t xml:space="preserve">indirizzo di posta elettronica certificata </w:t>
      </w:r>
      <w:hyperlink r:id="rId9">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25">
      <w:pPr>
        <w:numPr>
          <w:ilvl w:val="0"/>
          <w:numId w:val="4"/>
        </w:numPr>
        <w:ind w:left="720" w:hanging="360"/>
        <w:jc w:val="both"/>
        <w:rPr>
          <w:sz w:val="16"/>
          <w:szCs w:val="16"/>
        </w:rPr>
      </w:pPr>
      <w:r w:rsidDel="00000000" w:rsidR="00000000" w:rsidRPr="00000000">
        <w:rPr>
          <w:sz w:val="16"/>
          <w:szCs w:val="16"/>
          <w:rtl w:val="0"/>
        </w:rPr>
        <w:t xml:space="preserve">indirizzo di posta elettronica ordinaria </w:t>
      </w:r>
      <w:hyperlink r:id="rId10">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26">
      <w:pPr>
        <w:numPr>
          <w:ilvl w:val="0"/>
          <w:numId w:val="4"/>
        </w:numPr>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27">
      <w:pPr>
        <w:jc w:val="both"/>
        <w:rPr>
          <w:sz w:val="16"/>
          <w:szCs w:val="16"/>
        </w:rPr>
      </w:pPr>
      <w:r w:rsidDel="00000000" w:rsidR="00000000" w:rsidRPr="00000000">
        <w:rPr>
          <w:rtl w:val="0"/>
        </w:rPr>
      </w:r>
    </w:p>
    <w:p w:rsidR="00000000" w:rsidDel="00000000" w:rsidP="00000000" w:rsidRDefault="00000000" w:rsidRPr="00000000" w14:paraId="00000028">
      <w:pPr>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29">
      <w:pPr>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2A">
      <w:pPr>
        <w:numPr>
          <w:ilvl w:val="0"/>
          <w:numId w:val="1"/>
        </w:numPr>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2B">
      <w:pPr>
        <w:numPr>
          <w:ilvl w:val="0"/>
          <w:numId w:val="3"/>
        </w:numPr>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2C">
      <w:pPr>
        <w:numPr>
          <w:ilvl w:val="0"/>
          <w:numId w:val="3"/>
        </w:numPr>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2D">
      <w:pPr>
        <w:numPr>
          <w:ilvl w:val="0"/>
          <w:numId w:val="3"/>
        </w:numPr>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2E">
      <w:pPr>
        <w:numPr>
          <w:ilvl w:val="0"/>
          <w:numId w:val="3"/>
        </w:numPr>
        <w:spacing w:after="6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2F">
      <w:pPr>
        <w:spacing w:after="6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30">
      <w:pPr>
        <w:numPr>
          <w:ilvl w:val="0"/>
          <w:numId w:val="1"/>
        </w:numPr>
        <w:spacing w:after="6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1">
      <w:pPr>
        <w:spacing w:after="60" w:lineRule="auto"/>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2">
      <w:pPr>
        <w:spacing w:after="60" w:lineRule="auto"/>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3">
      <w:pPr>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4">
      <w:pPr>
        <w:jc w:val="both"/>
        <w:rPr>
          <w:sz w:val="16"/>
          <w:szCs w:val="16"/>
        </w:rPr>
      </w:pPr>
      <w:r w:rsidDel="00000000" w:rsidR="00000000" w:rsidRPr="00000000">
        <w:rPr>
          <w:rtl w:val="0"/>
        </w:rPr>
      </w:r>
    </w:p>
    <w:p w:rsidR="00000000" w:rsidDel="00000000" w:rsidP="00000000" w:rsidRDefault="00000000" w:rsidRPr="00000000" w14:paraId="00000035">
      <w:pPr>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36">
      <w:pPr>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7">
      <w:pPr>
        <w:jc w:val="both"/>
        <w:rPr>
          <w:b w:val="1"/>
          <w:color w:val="002060"/>
          <w:sz w:val="16"/>
          <w:szCs w:val="16"/>
        </w:rPr>
      </w:pPr>
      <w:r w:rsidDel="00000000" w:rsidR="00000000" w:rsidRPr="00000000">
        <w:rPr>
          <w:rtl w:val="0"/>
        </w:rPr>
      </w:r>
    </w:p>
    <w:p w:rsidR="00000000" w:rsidDel="00000000" w:rsidP="00000000" w:rsidRDefault="00000000" w:rsidRPr="00000000" w14:paraId="00000038">
      <w:pPr>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39">
      <w:pPr>
        <w:spacing w:after="120" w:lineRule="auto"/>
        <w:jc w:val="both"/>
        <w:rPr>
          <w:sz w:val="16"/>
          <w:szCs w:val="16"/>
        </w:rPr>
      </w:pPr>
      <w:bookmarkStart w:colFirst="0" w:colLast="0" w:name="_heading=h.1fob9te" w:id="1"/>
      <w:bookmarkEnd w:id="1"/>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3A">
      <w:pPr>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3B">
      <w:pPr>
        <w:jc w:val="both"/>
        <w:rPr>
          <w:sz w:val="16"/>
          <w:szCs w:val="16"/>
        </w:rPr>
      </w:pPr>
      <w:r w:rsidDel="00000000" w:rsidR="00000000" w:rsidRPr="00000000">
        <w:rPr>
          <w:rtl w:val="0"/>
        </w:rPr>
      </w:r>
    </w:p>
    <w:p w:rsidR="00000000" w:rsidDel="00000000" w:rsidP="00000000" w:rsidRDefault="00000000" w:rsidRPr="00000000" w14:paraId="0000003C">
      <w:pPr>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3D">
      <w:pPr>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3E">
      <w:pPr>
        <w:jc w:val="both"/>
        <w:rPr>
          <w:sz w:val="16"/>
          <w:szCs w:val="16"/>
        </w:rPr>
      </w:pPr>
      <w:r w:rsidDel="00000000" w:rsidR="00000000" w:rsidRPr="00000000">
        <w:rPr>
          <w:rtl w:val="0"/>
        </w:rPr>
      </w:r>
    </w:p>
    <w:p w:rsidR="00000000" w:rsidDel="00000000" w:rsidP="00000000" w:rsidRDefault="00000000" w:rsidRPr="00000000" w14:paraId="0000003F">
      <w:pPr>
        <w:jc w:val="both"/>
        <w:rPr>
          <w:b w:val="1"/>
          <w:color w:val="002060"/>
          <w:sz w:val="16"/>
          <w:szCs w:val="16"/>
          <w:highlight w:val="white"/>
          <w:u w:val="single"/>
        </w:rPr>
      </w:pPr>
      <w:bookmarkStart w:colFirst="0" w:colLast="0" w:name="_heading=h.3q3vpkpg44bz" w:id="2"/>
      <w:bookmarkEnd w:id="2"/>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40">
      <w:pPr>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1">
      <w:pPr>
        <w:numPr>
          <w:ilvl w:val="0"/>
          <w:numId w:val="4"/>
        </w:numPr>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2">
      <w:pPr>
        <w:numPr>
          <w:ilvl w:val="0"/>
          <w:numId w:val="4"/>
        </w:numPr>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3">
      <w:pPr>
        <w:numPr>
          <w:ilvl w:val="0"/>
          <w:numId w:val="4"/>
        </w:numPr>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4">
      <w:pPr>
        <w:numPr>
          <w:ilvl w:val="0"/>
          <w:numId w:val="4"/>
        </w:numPr>
        <w:spacing w:after="6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5">
      <w:pPr>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6">
      <w:pPr>
        <w:jc w:val="both"/>
        <w:rPr>
          <w:sz w:val="12"/>
          <w:szCs w:val="12"/>
        </w:rPr>
      </w:pPr>
      <w:r w:rsidDel="00000000" w:rsidR="00000000" w:rsidRPr="00000000">
        <w:rPr>
          <w:rtl w:val="0"/>
        </w:rPr>
      </w:r>
    </w:p>
    <w:p w:rsidR="00000000" w:rsidDel="00000000" w:rsidP="00000000" w:rsidRDefault="00000000" w:rsidRPr="00000000" w14:paraId="00000047">
      <w:pPr>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48">
      <w:pPr>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49">
      <w:pPr>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4A">
      <w:pPr>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4B">
      <w:pPr>
        <w:jc w:val="both"/>
        <w:rPr>
          <w:b w:val="1"/>
          <w:color w:val="002060"/>
          <w:sz w:val="12"/>
          <w:szCs w:val="12"/>
          <w:highlight w:val="white"/>
        </w:rPr>
      </w:pPr>
      <w:r w:rsidDel="00000000" w:rsidR="00000000" w:rsidRPr="00000000">
        <w:rPr>
          <w:rtl w:val="0"/>
        </w:rPr>
      </w:r>
    </w:p>
    <w:p w:rsidR="00000000" w:rsidDel="00000000" w:rsidP="00000000" w:rsidRDefault="00000000" w:rsidRPr="00000000" w14:paraId="0000004C">
      <w:pPr>
        <w:jc w:val="both"/>
        <w:rPr>
          <w:b w:val="1"/>
          <w:color w:val="002060"/>
          <w:sz w:val="16"/>
          <w:szCs w:val="16"/>
          <w:u w:val="single"/>
        </w:rPr>
      </w:pP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4D">
      <w:pPr>
        <w:spacing w:after="120" w:lineRule="auto"/>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4E">
      <w:pPr>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4F">
      <w:pPr>
        <w:jc w:val="both"/>
        <w:rPr>
          <w:sz w:val="16"/>
          <w:szCs w:val="16"/>
        </w:rPr>
      </w:pPr>
      <w:r w:rsidDel="00000000" w:rsidR="00000000" w:rsidRPr="00000000">
        <w:rPr>
          <w:rtl w:val="0"/>
        </w:rPr>
      </w:r>
    </w:p>
    <w:p w:rsidR="00000000" w:rsidDel="00000000" w:rsidP="00000000" w:rsidRDefault="00000000" w:rsidRPr="00000000" w14:paraId="00000050">
      <w:pPr>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51">
      <w:pPr>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2">
      <w:pPr>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3">
      <w:pPr>
        <w:numPr>
          <w:ilvl w:val="0"/>
          <w:numId w:val="2"/>
        </w:numPr>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4">
      <w:pPr>
        <w:numPr>
          <w:ilvl w:val="0"/>
          <w:numId w:val="2"/>
        </w:numPr>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55">
      <w:pPr>
        <w:numPr>
          <w:ilvl w:val="0"/>
          <w:numId w:val="2"/>
        </w:numPr>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56">
      <w:pPr>
        <w:numPr>
          <w:ilvl w:val="0"/>
          <w:numId w:val="2"/>
        </w:numPr>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57">
      <w:pPr>
        <w:numPr>
          <w:ilvl w:val="0"/>
          <w:numId w:val="2"/>
        </w:numPr>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58">
      <w:pPr>
        <w:numPr>
          <w:ilvl w:val="0"/>
          <w:numId w:val="2"/>
        </w:numPr>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59">
      <w:pPr>
        <w:numPr>
          <w:ilvl w:val="0"/>
          <w:numId w:val="2"/>
        </w:numPr>
        <w:spacing w:after="12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A">
      <w:pPr>
        <w:spacing w:after="120" w:lineRule="auto"/>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5B">
      <w:pPr>
        <w:jc w:val="both"/>
        <w:rPr>
          <w:i w:val="1"/>
          <w:sz w:val="16"/>
          <w:szCs w:val="16"/>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b w:val="1"/>
          <w:i w:val="1"/>
          <w:sz w:val="18"/>
          <w:szCs w:val="18"/>
        </w:rPr>
      </w:pPr>
      <w:r w:rsidDel="00000000" w:rsidR="00000000" w:rsidRPr="00000000">
        <w:rPr>
          <w:i w:val="1"/>
          <w:sz w:val="16"/>
          <w:szCs w:val="16"/>
          <w:rtl w:val="0"/>
        </w:rPr>
        <w:t xml:space="preserve">Questa informativa è stata aggiornata dalla Segreteria Generale in data 30-10-2020.</w:t>
      </w:r>
      <w:r w:rsidDel="00000000" w:rsidR="00000000" w:rsidRPr="00000000">
        <w:rPr>
          <w:rtl w:val="0"/>
        </w:rPr>
      </w:r>
    </w:p>
    <w:p w:rsidR="00000000" w:rsidDel="00000000" w:rsidP="00000000" w:rsidRDefault="00000000" w:rsidRPr="00000000" w14:paraId="0000005D">
      <w:pPr>
        <w:ind w:hanging="2"/>
        <w:rPr>
          <w:rFonts w:ascii="Times New Roman" w:cs="Times New Roman" w:eastAsia="Times New Roman" w:hAnsi="Times New Roman"/>
          <w:b w:val="1"/>
          <w:color w:val="002060"/>
          <w:sz w:val="18"/>
          <w:szCs w:val="18"/>
        </w:rPr>
      </w:pPr>
      <w:r w:rsidDel="00000000" w:rsidR="00000000" w:rsidRPr="00000000">
        <w:rPr>
          <w:rtl w:val="0"/>
        </w:rPr>
      </w:r>
    </w:p>
    <w:sectPr>
      <w:headerReference r:id="rId13" w:type="default"/>
      <w:footerReference r:id="rId14" w:type="default"/>
      <w:pgSz w:h="16838" w:w="11906" w:orient="portrait"/>
      <w:pgMar w:bottom="1134" w:top="141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rating di legalità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-1424</wp:posOffset>
          </wp:positionH>
          <wp:positionV relativeFrom="topMargin">
            <wp:posOffset>73028</wp:posOffset>
          </wp:positionV>
          <wp:extent cx="7562850" cy="169545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mailto:rpd@fg.camcom.it" TargetMode="External"/><Relationship Id="rId13" Type="http://schemas.openxmlformats.org/officeDocument/2006/relationships/header" Target="header1.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0lokWuZnsrSdeuT1Wyon7qmQQ==">AMUW2mXzNAgQsSyaDxS83sPggSNAWuDu/1KWoo56tIW1CH4toUtSOzfkLOw6HGSyogCBPVZSU5jbsGSUNSDSsY6KgpTzCfR/CQiVrNOZmu5u1Umqi+kQTDNXVXtPuFm8mE3DGRjuUGF7YNxS3BJsAHnh31GpN2PiujRGdYt3gQhOXo8EwbINFKg=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