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after="0" w:line="240" w:lineRule="auto"/>
        <w:ind w:left="0" w:hanging="2"/>
        <w:jc w:val="center"/>
        <w:rPr>
          <w:b w:val="1"/>
        </w:rPr>
      </w:pPr>
      <w:r w:rsidDel="00000000" w:rsidR="00000000" w:rsidRPr="00000000">
        <w:rPr>
          <w:b w:val="1"/>
          <w:rtl w:val="0"/>
        </w:rPr>
        <w:t xml:space="preserve">Compilare solo in caso di “Unità economica”</w:t>
      </w:r>
      <w:r w:rsidDel="00000000" w:rsidR="00000000" w:rsidRPr="00000000">
        <w:rPr>
          <w:b w:val="1"/>
          <w:vertAlign w:val="superscript"/>
        </w:rPr>
        <w:footnoteReference w:customMarkFollows="0" w:id="0"/>
      </w:r>
      <w:r w:rsidDel="00000000" w:rsidR="00000000" w:rsidRPr="00000000">
        <w:rPr>
          <w:b w:val="1"/>
          <w:rtl w:val="0"/>
        </w:rPr>
        <w:t xml:space="preserve"> a cura di ciascuna delle imprese appartenenti</w:t>
      </w:r>
    </w:p>
    <w:p w:rsidR="00000000" w:rsidDel="00000000" w:rsidP="00000000" w:rsidRDefault="00000000" w:rsidRPr="00000000" w14:paraId="00000002">
      <w:pPr>
        <w:tabs>
          <w:tab w:val="center" w:pos="4819"/>
          <w:tab w:val="right" w:pos="9638"/>
        </w:tabs>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3">
      <w:pPr>
        <w:tabs>
          <w:tab w:val="center" w:pos="4819"/>
          <w:tab w:val="right" w:pos="9638"/>
        </w:tabs>
        <w:spacing w:after="0" w:line="240" w:lineRule="auto"/>
        <w:ind w:left="0" w:hanging="2"/>
        <w:jc w:val="center"/>
        <w:rPr>
          <w:sz w:val="24"/>
          <w:szCs w:val="24"/>
        </w:rPr>
      </w:pPr>
      <w:r w:rsidDel="00000000" w:rsidR="00000000" w:rsidRPr="00000000">
        <w:rPr>
          <w:b w:val="1"/>
          <w:sz w:val="24"/>
          <w:szCs w:val="24"/>
          <w:rtl w:val="0"/>
        </w:rPr>
        <w:t xml:space="preserve">MODULO DICHIARAZIONE PER UNITÀ ECONOMICA - BANDO TURISMO 2020</w:t>
      </w:r>
      <w:r w:rsidDel="00000000" w:rsidR="00000000" w:rsidRPr="00000000">
        <w:rPr>
          <w:rtl w:val="0"/>
        </w:rPr>
      </w:r>
    </w:p>
    <w:p w:rsidR="00000000" w:rsidDel="00000000" w:rsidP="00000000" w:rsidRDefault="00000000" w:rsidRPr="00000000" w14:paraId="00000004">
      <w:pPr>
        <w:tabs>
          <w:tab w:val="center" w:pos="4819"/>
          <w:tab w:val="right" w:pos="9638"/>
        </w:tabs>
        <w:spacing w:after="0"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05">
      <w:pPr>
        <w:shd w:fill="ffffff" w:val="clear"/>
        <w:spacing w:after="0" w:before="120" w:line="240" w:lineRule="auto"/>
        <w:ind w:left="0" w:hanging="2"/>
        <w:jc w:val="center"/>
        <w:rPr>
          <w:i w:val="1"/>
        </w:rPr>
      </w:pPr>
      <w:r w:rsidDel="00000000" w:rsidR="00000000" w:rsidRPr="00000000">
        <w:rPr>
          <w:rtl w:val="0"/>
        </w:rPr>
        <w:t xml:space="preserve">II sottoscritto ____________________________________________________________________________ </w:t>
      </w:r>
      <w:r w:rsidDel="00000000" w:rsidR="00000000" w:rsidRPr="00000000">
        <w:rPr>
          <w:i w:val="1"/>
          <w:rtl w:val="0"/>
        </w:rPr>
        <w:t xml:space="preserve">(cognome) (nome) </w:t>
      </w:r>
    </w:p>
    <w:p w:rsidR="00000000" w:rsidDel="00000000" w:rsidP="00000000" w:rsidRDefault="00000000" w:rsidRPr="00000000" w14:paraId="00000006">
      <w:pPr>
        <w:shd w:fill="ffffff" w:val="clear"/>
        <w:spacing w:after="0" w:before="120" w:line="240" w:lineRule="auto"/>
        <w:ind w:left="0" w:hanging="2"/>
        <w:jc w:val="both"/>
        <w:rPr/>
      </w:pPr>
      <w:r w:rsidDel="00000000" w:rsidR="00000000" w:rsidRPr="00000000">
        <w:rPr>
          <w:rtl w:val="0"/>
        </w:rPr>
        <w:t xml:space="preserve">nato/a a __________________________________ Prov ___________ il _____________________________ </w:t>
      </w:r>
    </w:p>
    <w:p w:rsidR="00000000" w:rsidDel="00000000" w:rsidP="00000000" w:rsidRDefault="00000000" w:rsidRPr="00000000" w14:paraId="00000007">
      <w:pPr>
        <w:shd w:fill="ffffff" w:val="clear"/>
        <w:spacing w:after="0" w:before="120" w:line="240" w:lineRule="auto"/>
        <w:ind w:left="0" w:hanging="2"/>
        <w:jc w:val="both"/>
        <w:rPr/>
      </w:pPr>
      <w:r w:rsidDel="00000000" w:rsidR="00000000" w:rsidRPr="00000000">
        <w:rPr>
          <w:rtl w:val="0"/>
        </w:rPr>
        <w:t xml:space="preserve">residente in _____________________________________________________________________________ </w:t>
      </w:r>
    </w:p>
    <w:p w:rsidR="00000000" w:rsidDel="00000000" w:rsidP="00000000" w:rsidRDefault="00000000" w:rsidRPr="00000000" w14:paraId="00000008">
      <w:pPr>
        <w:shd w:fill="ffffff" w:val="clear"/>
        <w:spacing w:after="0" w:before="120" w:line="240" w:lineRule="auto"/>
        <w:ind w:left="0" w:hanging="2"/>
        <w:jc w:val="both"/>
        <w:rPr/>
      </w:pPr>
      <w:r w:rsidDel="00000000" w:rsidR="00000000" w:rsidRPr="00000000">
        <w:rPr>
          <w:rtl w:val="0"/>
        </w:rPr>
        <w:t xml:space="preserve">Comune ________________________________________________ Prov ____________________________ </w:t>
      </w:r>
    </w:p>
    <w:p w:rsidR="00000000" w:rsidDel="00000000" w:rsidP="00000000" w:rsidRDefault="00000000" w:rsidRPr="00000000" w14:paraId="00000009">
      <w:pPr>
        <w:shd w:fill="ffffff" w:val="clear"/>
        <w:spacing w:after="0" w:before="120" w:line="240" w:lineRule="auto"/>
        <w:ind w:left="0" w:hanging="2"/>
        <w:jc w:val="both"/>
        <w:rPr/>
      </w:pPr>
      <w:r w:rsidDel="00000000" w:rsidR="00000000" w:rsidRPr="00000000">
        <w:rPr>
          <w:rtl w:val="0"/>
        </w:rPr>
        <w:t xml:space="preserve">in qualità di titolare/legale rappresentante_____________________________________________________ </w:t>
      </w:r>
    </w:p>
    <w:p w:rsidR="00000000" w:rsidDel="00000000" w:rsidP="00000000" w:rsidRDefault="00000000" w:rsidRPr="00000000" w14:paraId="0000000A">
      <w:pPr>
        <w:shd w:fill="ffffff" w:val="clear"/>
        <w:spacing w:after="0" w:before="120" w:line="240" w:lineRule="auto"/>
        <w:ind w:left="0" w:hanging="2"/>
        <w:jc w:val="both"/>
        <w:rPr/>
      </w:pPr>
      <w:r w:rsidDel="00000000" w:rsidR="00000000" w:rsidRPr="00000000">
        <w:rPr>
          <w:rtl w:val="0"/>
        </w:rPr>
        <w:t xml:space="preserve">della impresa/società______________________________________________________________________ </w:t>
      </w:r>
    </w:p>
    <w:p w:rsidR="00000000" w:rsidDel="00000000" w:rsidP="00000000" w:rsidRDefault="00000000" w:rsidRPr="00000000" w14:paraId="0000000B">
      <w:pPr>
        <w:shd w:fill="ffffff" w:val="clear"/>
        <w:spacing w:after="0" w:before="120" w:line="240" w:lineRule="auto"/>
        <w:ind w:left="0" w:hanging="2"/>
        <w:jc w:val="both"/>
        <w:rPr/>
      </w:pPr>
      <w:r w:rsidDel="00000000" w:rsidR="00000000" w:rsidRPr="00000000">
        <w:rPr>
          <w:rtl w:val="0"/>
        </w:rPr>
        <w:t xml:space="preserve">iscritta al Registro Imprese di _______________________________________________________________ </w:t>
      </w:r>
    </w:p>
    <w:p w:rsidR="00000000" w:rsidDel="00000000" w:rsidP="00000000" w:rsidRDefault="00000000" w:rsidRPr="00000000" w14:paraId="0000000C">
      <w:pPr>
        <w:shd w:fill="ffffff" w:val="clear"/>
        <w:spacing w:after="0" w:before="120" w:line="240" w:lineRule="auto"/>
        <w:ind w:left="0" w:hanging="2"/>
        <w:jc w:val="both"/>
        <w:rPr/>
      </w:pPr>
      <w:r w:rsidDel="00000000" w:rsidR="00000000" w:rsidRPr="00000000">
        <w:rPr>
          <w:rtl w:val="0"/>
        </w:rPr>
        <w:t xml:space="preserve">con sede in via/piazza _____________________________________________________________________ </w:t>
      </w:r>
    </w:p>
    <w:p w:rsidR="00000000" w:rsidDel="00000000" w:rsidP="00000000" w:rsidRDefault="00000000" w:rsidRPr="00000000" w14:paraId="0000000D">
      <w:pPr>
        <w:shd w:fill="ffffff" w:val="clear"/>
        <w:spacing w:after="0" w:before="120" w:line="240" w:lineRule="auto"/>
        <w:ind w:left="0" w:hanging="2"/>
        <w:jc w:val="both"/>
        <w:rPr/>
      </w:pPr>
      <w:r w:rsidDel="00000000" w:rsidR="00000000" w:rsidRPr="00000000">
        <w:rPr>
          <w:rtl w:val="0"/>
        </w:rPr>
        <w:t xml:space="preserve">Comune__________________________________Provincia_______________________________________ </w:t>
      </w:r>
    </w:p>
    <w:p w:rsidR="00000000" w:rsidDel="00000000" w:rsidP="00000000" w:rsidRDefault="00000000" w:rsidRPr="00000000" w14:paraId="0000000E">
      <w:pPr>
        <w:shd w:fill="ffffff" w:val="clear"/>
        <w:spacing w:after="0" w:before="120" w:line="240" w:lineRule="auto"/>
        <w:ind w:left="0" w:hanging="2"/>
        <w:jc w:val="both"/>
        <w:rPr/>
      </w:pPr>
      <w:r w:rsidDel="00000000" w:rsidR="00000000" w:rsidRPr="00000000">
        <w:rPr>
          <w:rtl w:val="0"/>
        </w:rPr>
        <w:t xml:space="preserve">codice fiscale __________________________________ P. Iva _____________________________________ </w:t>
      </w:r>
    </w:p>
    <w:p w:rsidR="00000000" w:rsidDel="00000000" w:rsidP="00000000" w:rsidRDefault="00000000" w:rsidRPr="00000000" w14:paraId="0000000F">
      <w:pPr>
        <w:shd w:fill="ffffff" w:val="clear"/>
        <w:spacing w:after="0" w:before="120" w:line="240" w:lineRule="auto"/>
        <w:ind w:left="0" w:hanging="2"/>
        <w:jc w:val="both"/>
        <w:rPr/>
      </w:pPr>
      <w:r w:rsidDel="00000000" w:rsidR="00000000" w:rsidRPr="00000000">
        <w:rPr>
          <w:rtl w:val="0"/>
        </w:rPr>
        <w:t xml:space="preserve">Telefono ________________________________________________________________________________ </w:t>
      </w:r>
    </w:p>
    <w:p w:rsidR="00000000" w:rsidDel="00000000" w:rsidP="00000000" w:rsidRDefault="00000000" w:rsidRPr="00000000" w14:paraId="00000010">
      <w:pPr>
        <w:shd w:fill="ffffff" w:val="clear"/>
        <w:spacing w:after="0" w:before="120" w:line="240" w:lineRule="auto"/>
        <w:ind w:left="0" w:hanging="2"/>
        <w:jc w:val="both"/>
        <w:rPr>
          <w:rFonts w:ascii="Noto Sans Symbols" w:cs="Noto Sans Symbols" w:eastAsia="Noto Sans Symbols" w:hAnsi="Noto Sans Symbols"/>
          <w:b w:val="1"/>
          <w:sz w:val="28"/>
          <w:szCs w:val="28"/>
        </w:rPr>
      </w:pPr>
      <w:r w:rsidDel="00000000" w:rsidR="00000000" w:rsidRPr="00000000">
        <w:rPr>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p>
    <w:p w:rsidR="00000000" w:rsidDel="00000000" w:rsidP="00000000" w:rsidRDefault="00000000" w:rsidRPr="00000000" w14:paraId="00000011">
      <w:pPr>
        <w:shd w:fill="ffffff" w:val="clear"/>
        <w:spacing w:after="0" w:before="12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CONTROLLATA dell’impresa richiedente l’agevolazione sul Bando in oggetto   </w:t>
      </w:r>
    </w:p>
    <w:p w:rsidR="00000000" w:rsidDel="00000000" w:rsidP="00000000" w:rsidRDefault="00000000" w:rsidRPr="00000000" w14:paraId="00000012">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3">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4">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CONTROLLANTE  dell’impresa richiedente l’agevolazione sul Bando in oggetto   </w:t>
      </w:r>
    </w:p>
    <w:p w:rsidR="00000000" w:rsidDel="00000000" w:rsidP="00000000" w:rsidRDefault="00000000" w:rsidRPr="00000000" w14:paraId="00000015">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6">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7">
      <w:pPr>
        <w:spacing w:after="0" w:line="240" w:lineRule="auto"/>
        <w:ind w:left="1" w:hanging="3"/>
        <w:jc w:val="both"/>
        <w:rPr>
          <w:b w:val="1"/>
        </w:rPr>
      </w:pPr>
      <w:r w:rsidDel="00000000" w:rsidR="00000000" w:rsidRPr="00000000">
        <w:rPr>
          <w:rtl w:val="0"/>
        </w:rPr>
      </w:r>
    </w:p>
    <w:p w:rsidR="00000000" w:rsidDel="00000000" w:rsidP="00000000" w:rsidRDefault="00000000" w:rsidRPr="00000000" w14:paraId="00000018">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 ALTRI TIPI DI COLLEGAMENTO con l’impresa richiedente l’agevolazione sul Bando in oggetto  </w:t>
      </w:r>
    </w:p>
    <w:p w:rsidR="00000000" w:rsidDel="00000000" w:rsidP="00000000" w:rsidRDefault="00000000" w:rsidRPr="00000000" w14:paraId="00000019">
      <w:pPr>
        <w:spacing w:after="0" w:line="240" w:lineRule="auto"/>
        <w:ind w:left="0" w:firstLine="0"/>
        <w:jc w:val="both"/>
        <w:rPr>
          <w:b w:val="1"/>
        </w:rPr>
      </w:pPr>
      <w:r w:rsidDel="00000000" w:rsidR="00000000" w:rsidRPr="00000000">
        <w:rPr>
          <w:b w:val="1"/>
          <w:rtl w:val="0"/>
        </w:rPr>
        <w:t xml:space="preserve">     ……………………………………………………………………………………   </w:t>
      </w:r>
    </w:p>
    <w:p w:rsidR="00000000" w:rsidDel="00000000" w:rsidP="00000000" w:rsidRDefault="00000000" w:rsidRPr="00000000" w14:paraId="0000001A">
      <w:pPr>
        <w:spacing w:after="0" w:before="20" w:line="240" w:lineRule="auto"/>
        <w:ind w:left="0"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B">
      <w:pPr>
        <w:spacing w:after="0" w:line="240" w:lineRule="auto"/>
        <w:ind w:left="0" w:hanging="2"/>
        <w:jc w:val="both"/>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pPr>
      <w:r w:rsidDel="00000000" w:rsidR="00000000" w:rsidRPr="00000000">
        <w:rPr>
          <w:rtl w:val="0"/>
        </w:rPr>
        <w:t xml:space="preserve">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 ai sensi degli artt. 46, 47 e 48 del D.P.R. 445/2000,</w:t>
      </w:r>
    </w:p>
    <w:p w:rsidR="00000000" w:rsidDel="00000000" w:rsidP="00000000" w:rsidRDefault="00000000" w:rsidRPr="00000000" w14:paraId="0000001D">
      <w:pPr>
        <w:spacing w:after="0" w:line="240" w:lineRule="auto"/>
        <w:ind w:left="0" w:hanging="2"/>
        <w:jc w:val="both"/>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pPr>
      <w:r w:rsidDel="00000000" w:rsidR="00000000" w:rsidRPr="00000000">
        <w:rPr>
          <w:rtl w:val="0"/>
        </w:rPr>
        <w:t xml:space="preserve">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rsidR="00000000" w:rsidDel="00000000" w:rsidP="00000000" w:rsidRDefault="00000000" w:rsidRPr="00000000" w14:paraId="0000001F">
      <w:pPr>
        <w:spacing w:after="0" w:line="240" w:lineRule="auto"/>
        <w:ind w:left="0" w:hanging="2"/>
        <w:jc w:val="center"/>
        <w:rPr/>
      </w:pPr>
      <w:r w:rsidDel="00000000" w:rsidR="00000000" w:rsidRPr="00000000">
        <w:rPr>
          <w:rtl w:val="0"/>
        </w:rPr>
      </w:r>
    </w:p>
    <w:p w:rsidR="00000000" w:rsidDel="00000000" w:rsidP="00000000" w:rsidRDefault="00000000" w:rsidRPr="00000000" w14:paraId="00000020">
      <w:pPr>
        <w:spacing w:after="0" w:line="240" w:lineRule="auto"/>
        <w:ind w:left="1" w:hanging="3"/>
        <w:jc w:val="center"/>
        <w:rPr>
          <w:sz w:val="28"/>
          <w:szCs w:val="28"/>
        </w:rPr>
      </w:pPr>
      <w:r w:rsidDel="00000000" w:rsidR="00000000" w:rsidRPr="00000000">
        <w:rPr>
          <w:b w:val="1"/>
          <w:sz w:val="28"/>
          <w:szCs w:val="28"/>
          <w:rtl w:val="0"/>
        </w:rPr>
        <w:t xml:space="preserve">DICHIARA</w:t>
      </w:r>
      <w:r w:rsidDel="00000000" w:rsidR="00000000" w:rsidRPr="00000000">
        <w:rPr>
          <w:rtl w:val="0"/>
        </w:rPr>
      </w:r>
    </w:p>
    <w:p w:rsidR="00000000" w:rsidDel="00000000" w:rsidP="00000000" w:rsidRDefault="00000000" w:rsidRPr="00000000" w14:paraId="00000021">
      <w:pPr>
        <w:spacing w:after="0"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22">
      <w:pPr>
        <w:numPr>
          <w:ilvl w:val="0"/>
          <w:numId w:val="1"/>
        </w:numPr>
        <w:spacing w:after="120" w:line="240" w:lineRule="auto"/>
        <w:ind w:left="720" w:hanging="360"/>
        <w:jc w:val="both"/>
        <w:rPr/>
      </w:pPr>
      <w:r w:rsidDel="00000000" w:rsidR="00000000" w:rsidRPr="00000000">
        <w:rPr>
          <w:rtl w:val="0"/>
        </w:rPr>
        <w:t xml:space="preserve">che l’esercizio finanziario (anno fiscale) dell’impresa inizia il _____ e termina il ______</w:t>
      </w:r>
    </w:p>
    <w:p w:rsidR="00000000" w:rsidDel="00000000" w:rsidP="00000000" w:rsidRDefault="00000000" w:rsidRPr="00000000" w14:paraId="00000023">
      <w:pPr>
        <w:spacing w:after="12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24">
      <w:pPr>
        <w:numPr>
          <w:ilvl w:val="0"/>
          <w:numId w:val="1"/>
        </w:numPr>
        <w:spacing w:after="120" w:line="240" w:lineRule="auto"/>
        <w:ind w:left="720" w:hanging="360"/>
        <w:jc w:val="both"/>
        <w:rPr/>
      </w:pPr>
      <w:r w:rsidDel="00000000" w:rsidR="00000000" w:rsidRPr="00000000">
        <w:rPr>
          <w:rtl w:val="0"/>
        </w:rPr>
        <w:t xml:space="preserve">che l’impresa rappresentata: </w:t>
      </w:r>
    </w:p>
    <w:p w:rsidR="00000000" w:rsidDel="00000000" w:rsidP="00000000" w:rsidRDefault="00000000" w:rsidRPr="00000000" w14:paraId="00000025">
      <w:pPr>
        <w:spacing w:after="120" w:line="240" w:lineRule="auto"/>
        <w:ind w:left="1133.858267716535" w:hanging="435"/>
        <w:jc w:val="both"/>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controlla, anche indirettamente, le imprese seguenti aventi sede in Italia: </w:t>
      </w:r>
    </w:p>
    <w:p w:rsidR="00000000" w:rsidDel="00000000" w:rsidP="00000000" w:rsidRDefault="00000000" w:rsidRPr="00000000" w14:paraId="00000026">
      <w:pPr>
        <w:spacing w:after="120" w:line="240" w:lineRule="auto"/>
        <w:ind w:left="1417.3228346456694" w:hanging="435"/>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7">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8">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9">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A">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controllata, anche indirettamente, dalle imprese seguenti aventi sede in Italia: </w:t>
      </w:r>
    </w:p>
    <w:p w:rsidR="00000000" w:rsidDel="00000000" w:rsidP="00000000" w:rsidRDefault="00000000" w:rsidRPr="00000000" w14:paraId="0000002B">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C">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2D">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E">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F">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altri tipi di collegamento (specificare): </w:t>
      </w:r>
    </w:p>
    <w:p w:rsidR="00000000" w:rsidDel="00000000" w:rsidP="00000000" w:rsidRDefault="00000000" w:rsidRPr="00000000" w14:paraId="00000030">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31">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32">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3">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4">
      <w:pPr>
        <w:numPr>
          <w:ilvl w:val="0"/>
          <w:numId w:val="1"/>
        </w:numPr>
        <w:spacing w:after="120" w:line="240" w:lineRule="auto"/>
        <w:ind w:left="720" w:hanging="360"/>
        <w:jc w:val="both"/>
        <w:rPr/>
      </w:pPr>
      <w:r w:rsidDel="00000000" w:rsidR="00000000" w:rsidRPr="00000000">
        <w:rPr>
          <w:rtl w:val="0"/>
        </w:rPr>
        <w:t xml:space="preserve">che l’impresa rappresentata, nell’esercizio in corso e nei due esercizi precedenti,  </w:t>
      </w:r>
    </w:p>
    <w:p w:rsidR="00000000" w:rsidDel="00000000" w:rsidP="00000000" w:rsidRDefault="00000000" w:rsidRPr="00000000" w14:paraId="00000035">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è stata interessata da fusioni, acquisizioni o scissioni</w:t>
      </w:r>
    </w:p>
    <w:p w:rsidR="00000000" w:rsidDel="00000000" w:rsidP="00000000" w:rsidRDefault="00000000" w:rsidRPr="00000000" w14:paraId="00000036">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stata interessata da fusioni, acquisizioni o scissioni </w:t>
      </w:r>
    </w:p>
    <w:p w:rsidR="00000000" w:rsidDel="00000000" w:rsidP="00000000" w:rsidRDefault="00000000" w:rsidRPr="00000000" w14:paraId="00000037">
      <w:pPr>
        <w:numPr>
          <w:ilvl w:val="0"/>
          <w:numId w:val="1"/>
        </w:numPr>
        <w:spacing w:after="120" w:line="240" w:lineRule="auto"/>
        <w:ind w:left="720" w:hanging="360"/>
        <w:jc w:val="both"/>
        <w:rPr/>
      </w:pPr>
      <w:r w:rsidDel="00000000" w:rsidR="00000000" w:rsidRPr="00000000">
        <w:rPr>
          <w:rtl w:val="0"/>
        </w:rPr>
        <w:t xml:space="preserve">che l’impresa rappresentata, tenuto conto di eventuali fusioni, acquisizioni o scissioni:</w:t>
      </w:r>
    </w:p>
    <w:p w:rsidR="00000000" w:rsidDel="00000000" w:rsidP="00000000" w:rsidRDefault="00000000" w:rsidRPr="00000000" w14:paraId="00000038">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ha beneficiato di agevolazioni pubbliche</w:t>
      </w:r>
    </w:p>
    <w:p w:rsidR="00000000" w:rsidDel="00000000" w:rsidP="00000000" w:rsidRDefault="00000000" w:rsidRPr="00000000" w14:paraId="00000039">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ha beneficiato delle agevolazioni pubbliche  indicate di seguito</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A">
      <w:pPr>
        <w:spacing w:after="120" w:line="240" w:lineRule="auto"/>
        <w:ind w:left="721" w:hanging="2.9999999999999716"/>
        <w:jc w:val="both"/>
        <w:rPr/>
      </w:pPr>
      <w:r w:rsidDel="00000000" w:rsidR="00000000" w:rsidRPr="00000000">
        <w:rPr>
          <w:rtl w:val="0"/>
        </w:rPr>
      </w:r>
    </w:p>
    <w:tbl>
      <w:tblPr>
        <w:tblStyle w:val="Table1"/>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2"/>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3E">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0">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3"/>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1">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8">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9">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4"/>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0" w:line="240" w:lineRule="auto"/>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D">
      <w:pPr>
        <w:widowControl w:val="0"/>
        <w:spacing w:after="0" w:line="240" w:lineRule="auto"/>
        <w:ind w:left="0" w:hanging="2"/>
        <w:jc w:val="both"/>
        <w:rPr/>
      </w:pPr>
      <w:r w:rsidDel="00000000" w:rsidR="00000000" w:rsidRPr="00000000">
        <w:rPr>
          <w:rtl w:val="0"/>
        </w:rPr>
      </w:r>
    </w:p>
    <w:p w:rsidR="00000000" w:rsidDel="00000000" w:rsidP="00000000" w:rsidRDefault="00000000" w:rsidRPr="00000000" w14:paraId="0000006E">
      <w:pPr>
        <w:widowControl w:val="0"/>
        <w:spacing w:after="0" w:line="240" w:lineRule="auto"/>
        <w:ind w:left="-2" w:firstLine="0"/>
        <w:jc w:val="both"/>
        <w:rPr>
          <w:sz w:val="2"/>
          <w:szCs w:val="2"/>
        </w:rPr>
      </w:pPr>
      <w:r w:rsidDel="00000000" w:rsidR="00000000" w:rsidRPr="00000000">
        <w:rPr>
          <w:rtl w:val="0"/>
        </w:rPr>
      </w:r>
    </w:p>
    <w:p w:rsidR="00000000" w:rsidDel="00000000" w:rsidP="00000000" w:rsidRDefault="00000000" w:rsidRPr="00000000" w14:paraId="0000006F">
      <w:pPr>
        <w:spacing w:after="0" w:line="240" w:lineRule="auto"/>
        <w:ind w:left="0" w:hanging="2"/>
        <w:jc w:val="both"/>
        <w:rPr/>
      </w:pPr>
      <w:r w:rsidDel="00000000" w:rsidR="00000000" w:rsidRPr="00000000">
        <w:rPr>
          <w:rtl w:val="0"/>
        </w:rPr>
      </w:r>
    </w:p>
    <w:p w:rsidR="00000000" w:rsidDel="00000000" w:rsidP="00000000" w:rsidRDefault="00000000" w:rsidRPr="00000000" w14:paraId="00000070">
      <w:pPr>
        <w:spacing w:after="0" w:line="240" w:lineRule="auto"/>
        <w:ind w:left="0" w:hanging="2"/>
        <w:jc w:val="both"/>
        <w:rPr/>
      </w:pPr>
      <w:r w:rsidDel="00000000" w:rsidR="00000000" w:rsidRPr="00000000">
        <w:rPr>
          <w:rtl w:val="0"/>
        </w:rPr>
      </w:r>
    </w:p>
    <w:p w:rsidR="00000000" w:rsidDel="00000000" w:rsidP="00000000" w:rsidRDefault="00000000" w:rsidRPr="00000000" w14:paraId="00000071">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 </w:t>
        <w:tab/>
        <w:tab/>
        <w:tab/>
        <w:tab/>
        <w:tab/>
        <w:tab/>
        <w:tab/>
      </w:r>
      <w:r w:rsidDel="00000000" w:rsidR="00000000" w:rsidRPr="00000000">
        <w:rPr>
          <w:rFonts w:ascii="Cambria" w:cs="Cambria" w:eastAsia="Cambria" w:hAnsi="Cambria"/>
          <w:b w:val="1"/>
          <w:sz w:val="24"/>
          <w:szCs w:val="24"/>
          <w:rtl w:val="0"/>
        </w:rPr>
        <w:t xml:space="preserve">Firma digitale del Legale Rappresentante</w:t>
      </w:r>
      <w:r w:rsidDel="00000000" w:rsidR="00000000" w:rsidRPr="00000000">
        <w:rPr>
          <w:rtl w:val="0"/>
        </w:rPr>
      </w:r>
    </w:p>
    <w:p w:rsidR="00000000" w:rsidDel="00000000" w:rsidP="00000000" w:rsidRDefault="00000000" w:rsidRPr="00000000" w14:paraId="00000072">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18"/>
          <w:szCs w:val="18"/>
          <w:rtl w:val="0"/>
        </w:rPr>
        <w:t xml:space="preserve">       </w:t>
        <w:tab/>
        <w:tab/>
        <w:tab/>
        <w:tab/>
        <w:tab/>
        <w:tab/>
        <w:tab/>
        <w:tab/>
        <w:t xml:space="preserve">          (ai sensi del D.Lgs 82/2005)</w:t>
      </w:r>
      <w:r w:rsidDel="00000000" w:rsidR="00000000" w:rsidRPr="00000000">
        <w:rPr>
          <w:rtl w:val="0"/>
        </w:rPr>
      </w:r>
    </w:p>
    <w:p w:rsidR="00000000" w:rsidDel="00000000" w:rsidP="00000000" w:rsidRDefault="00000000" w:rsidRPr="00000000" w14:paraId="00000073">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51" w:line="240" w:lineRule="auto"/>
        <w:ind w:left="0"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120" w:line="240" w:lineRule="auto"/>
        <w:ind w:hanging="2"/>
        <w:jc w:val="both"/>
        <w:rPr>
          <w:rFonts w:ascii="Times New Roman" w:cs="Times New Roman" w:eastAsia="Times New Roman" w:hAnsi="Times New Roman"/>
          <w:b w:val="1"/>
          <w:i w:val="1"/>
          <w:sz w:val="18"/>
          <w:szCs w:val="18"/>
        </w:rPr>
      </w:pPr>
      <w:r w:rsidDel="00000000" w:rsidR="00000000" w:rsidRPr="00000000">
        <w:rPr>
          <w:rFonts w:ascii="Verdana" w:cs="Verdana" w:eastAsia="Verdana" w:hAnsi="Verdana"/>
          <w:b w:val="1"/>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79">
      <w:pPr>
        <w:spacing w:after="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7A">
      <w:pPr>
        <w:spacing w:after="6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7B">
      <w:pPr>
        <w:spacing w:after="0" w:line="240" w:lineRule="auto"/>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7C">
      <w:pPr>
        <w:spacing w:after="0" w:line="240" w:lineRule="auto"/>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7D">
      <w:pPr>
        <w:spacing w:after="0" w:line="240" w:lineRule="auto"/>
        <w:ind w:firstLine="0"/>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Turismo 2020</w:t>
      </w:r>
      <w:r w:rsidDel="00000000" w:rsidR="00000000" w:rsidRPr="00000000">
        <w:rPr>
          <w:sz w:val="16"/>
          <w:szCs w:val="16"/>
          <w:highlight w:val="white"/>
          <w:rtl w:val="0"/>
        </w:rPr>
        <w:t xml:space="preserve">.</w:t>
      </w:r>
    </w:p>
    <w:p w:rsidR="00000000" w:rsidDel="00000000" w:rsidP="00000000" w:rsidRDefault="00000000" w:rsidRPr="00000000" w14:paraId="0000007E">
      <w:pPr>
        <w:spacing w:after="0" w:line="240" w:lineRule="auto"/>
        <w:ind w:firstLine="0"/>
        <w:jc w:val="both"/>
        <w:rPr>
          <w:sz w:val="16"/>
          <w:szCs w:val="16"/>
          <w:highlight w:val="white"/>
        </w:rPr>
      </w:pPr>
      <w:r w:rsidDel="00000000" w:rsidR="00000000" w:rsidRPr="00000000">
        <w:rPr>
          <w:rtl w:val="0"/>
        </w:rPr>
      </w:r>
    </w:p>
    <w:p w:rsidR="00000000" w:rsidDel="00000000" w:rsidP="00000000" w:rsidRDefault="00000000" w:rsidRPr="00000000" w14:paraId="0000007F">
      <w:pPr>
        <w:spacing w:after="0" w:line="240" w:lineRule="auto"/>
        <w:ind w:firstLine="0"/>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80">
      <w:pPr>
        <w:spacing w:after="0" w:line="240" w:lineRule="auto"/>
        <w:ind w:firstLine="0"/>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9">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81">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82">
      <w:pPr>
        <w:spacing w:after="0" w:line="240" w:lineRule="auto"/>
        <w:ind w:firstLine="0"/>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3">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4">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85">
      <w:pPr>
        <w:numPr>
          <w:ilvl w:val="0"/>
          <w:numId w:val="5"/>
        </w:numPr>
        <w:spacing w:after="0" w:line="240" w:lineRule="auto"/>
        <w:ind w:left="720" w:hanging="360"/>
        <w:jc w:val="both"/>
        <w:rPr>
          <w:sz w:val="16"/>
          <w:szCs w:val="16"/>
        </w:rPr>
      </w:pPr>
      <w:r w:rsidDel="00000000" w:rsidR="00000000" w:rsidRPr="00000000">
        <w:rPr>
          <w:sz w:val="16"/>
          <w:szCs w:val="16"/>
          <w:rtl w:val="0"/>
        </w:rPr>
        <w:t xml:space="preserve">indirizzo di posta elettronica certificata </w:t>
      </w:r>
      <w:hyperlink r:id="rId10">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86">
      <w:pPr>
        <w:numPr>
          <w:ilvl w:val="0"/>
          <w:numId w:val="5"/>
        </w:numPr>
        <w:spacing w:after="0" w:line="240" w:lineRule="auto"/>
        <w:ind w:left="720" w:hanging="360"/>
        <w:jc w:val="both"/>
        <w:rPr>
          <w:sz w:val="16"/>
          <w:szCs w:val="16"/>
        </w:rPr>
      </w:pPr>
      <w:r w:rsidDel="00000000" w:rsidR="00000000" w:rsidRPr="00000000">
        <w:rPr>
          <w:sz w:val="16"/>
          <w:szCs w:val="16"/>
          <w:rtl w:val="0"/>
        </w:rPr>
        <w:t xml:space="preserve">indirizzo di posta elettronica ordinaria </w:t>
      </w:r>
      <w:hyperlink r:id="rId11">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87">
      <w:pPr>
        <w:numPr>
          <w:ilvl w:val="0"/>
          <w:numId w:val="5"/>
        </w:numPr>
        <w:spacing w:after="0" w:line="240" w:lineRule="auto"/>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88">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89">
      <w:pPr>
        <w:spacing w:after="0" w:line="240" w:lineRule="auto"/>
        <w:ind w:firstLine="0"/>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8A">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8B">
      <w:pPr>
        <w:numPr>
          <w:ilvl w:val="0"/>
          <w:numId w:val="3"/>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8C">
      <w:pPr>
        <w:numPr>
          <w:ilvl w:val="0"/>
          <w:numId w:val="6"/>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8D">
      <w:pPr>
        <w:numPr>
          <w:ilvl w:val="0"/>
          <w:numId w:val="6"/>
        </w:numPr>
        <w:spacing w:after="0" w:line="240" w:lineRule="auto"/>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8E">
      <w:pPr>
        <w:numPr>
          <w:ilvl w:val="0"/>
          <w:numId w:val="6"/>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8F">
      <w:pPr>
        <w:numPr>
          <w:ilvl w:val="0"/>
          <w:numId w:val="6"/>
        </w:numPr>
        <w:spacing w:after="6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90">
      <w:pPr>
        <w:spacing w:after="6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91">
      <w:pPr>
        <w:numPr>
          <w:ilvl w:val="0"/>
          <w:numId w:val="3"/>
        </w:numPr>
        <w:spacing w:after="6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92">
      <w:pPr>
        <w:spacing w:after="6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93">
      <w:pPr>
        <w:spacing w:after="6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94">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95">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6">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97">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8">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99">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9A">
      <w:pPr>
        <w:spacing w:after="120" w:line="240" w:lineRule="auto"/>
        <w:ind w:firstLine="0"/>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9B">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9C">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D">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9E">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9F">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A0">
      <w:pPr>
        <w:spacing w:after="0" w:line="240" w:lineRule="auto"/>
        <w:ind w:firstLine="0"/>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A1">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A2">
      <w:pPr>
        <w:numPr>
          <w:ilvl w:val="0"/>
          <w:numId w:val="5"/>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A3">
      <w:pPr>
        <w:numPr>
          <w:ilvl w:val="0"/>
          <w:numId w:val="5"/>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A4">
      <w:pPr>
        <w:numPr>
          <w:ilvl w:val="0"/>
          <w:numId w:val="5"/>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A5">
      <w:pPr>
        <w:numPr>
          <w:ilvl w:val="0"/>
          <w:numId w:val="5"/>
        </w:numPr>
        <w:spacing w:after="60" w:line="24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A6">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7">
      <w:pPr>
        <w:spacing w:after="0" w:line="240" w:lineRule="auto"/>
        <w:ind w:firstLine="0"/>
        <w:jc w:val="both"/>
        <w:rPr>
          <w:sz w:val="12"/>
          <w:szCs w:val="12"/>
        </w:rPr>
      </w:pPr>
      <w:r w:rsidDel="00000000" w:rsidR="00000000" w:rsidRPr="00000000">
        <w:rPr>
          <w:rtl w:val="0"/>
        </w:rPr>
      </w:r>
    </w:p>
    <w:p w:rsidR="00000000" w:rsidDel="00000000" w:rsidP="00000000" w:rsidRDefault="00000000" w:rsidRPr="00000000" w14:paraId="000000A8">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A9">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AA">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AB">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AC">
      <w:pPr>
        <w:spacing w:after="0" w:line="240" w:lineRule="auto"/>
        <w:ind w:firstLine="0"/>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AD">
      <w:pPr>
        <w:spacing w:after="0" w:line="240" w:lineRule="auto"/>
        <w:ind w:firstLine="0"/>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AE">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AF">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B0">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B1">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B2">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B3">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B4">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B5">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B6">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B7">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B8">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B9">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BA">
      <w:pPr>
        <w:numPr>
          <w:ilvl w:val="0"/>
          <w:numId w:val="4"/>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B">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BC">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BD">
      <w:pPr>
        <w:spacing w:after="0" w:line="240" w:lineRule="auto"/>
        <w:ind w:firstLine="0"/>
        <w:jc w:val="both"/>
        <w:rPr>
          <w:rFonts w:ascii="Times New Roman" w:cs="Times New Roman" w:eastAsia="Times New Roman" w:hAnsi="Times New Roman"/>
          <w:b w:val="1"/>
          <w:i w:val="1"/>
          <w:sz w:val="18"/>
          <w:szCs w:val="18"/>
        </w:rPr>
      </w:pPr>
      <w:r w:rsidDel="00000000" w:rsidR="00000000" w:rsidRPr="00000000">
        <w:rPr>
          <w:i w:val="1"/>
          <w:sz w:val="16"/>
          <w:szCs w:val="16"/>
          <w:rtl w:val="0"/>
        </w:rPr>
        <w:t xml:space="preserve">Questa informativa è stata aggiornata dalla Segreteria Generale in data 30-10-2020.</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41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C9">
    <w:pPr>
      <w:tabs>
        <w:tab w:val="center" w:pos="4819"/>
        <w:tab w:val="right" w:pos="9638"/>
      </w:tabs>
      <w:spacing w:after="0" w:line="240" w:lineRule="auto"/>
      <w:ind w:left="0" w:hanging="2"/>
      <w:jc w:val="center"/>
      <w:rPr>
        <w:color w:val="4a86e8"/>
      </w:rPr>
    </w:pPr>
    <w:r w:rsidDel="00000000" w:rsidR="00000000" w:rsidRPr="00000000">
      <w:rPr>
        <w:rFonts w:ascii="Times New Roman" w:cs="Times New Roman" w:eastAsia="Times New Roman" w:hAnsi="Times New Roman"/>
        <w:b w:val="1"/>
        <w:color w:val="4a86e8"/>
        <w:sz w:val="20"/>
        <w:szCs w:val="20"/>
        <w:rtl w:val="0"/>
      </w:rPr>
      <w:t xml:space="preserve">Modulo di dichiarazione Unità Economica- Anno 2020 - pag. </w:t>
    </w: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E">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 contributo.</w:t>
      </w:r>
    </w:p>
  </w:footnote>
  <w:footnote w:id="2">
    <w:p w:rsidR="00000000" w:rsidDel="00000000" w:rsidP="00000000" w:rsidRDefault="00000000" w:rsidRPr="00000000" w14:paraId="000000BF">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 tratterà di un’impresa diversa dalla dichiarante  nel caso gli aiuti si riferiscano ad imprese interessate, con la dichiarante, da operazioni di fusione o acquisizione</w:t>
      </w:r>
    </w:p>
  </w:footnote>
  <w:footnote w:id="3">
    <w:p w:rsidR="00000000" w:rsidDel="00000000" w:rsidP="00000000" w:rsidRDefault="00000000" w:rsidRPr="00000000" w14:paraId="000000C0">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 che ha effettuato la concessione o di riferimento (Stato, Regione, Provincia, Comune, CCIAA, Inps. Inail, Agenzia delle Entrate, ecc.).</w:t>
      </w:r>
    </w:p>
  </w:footnote>
  <w:footnote w:id="4">
    <w:p w:rsidR="00000000" w:rsidDel="00000000" w:rsidP="00000000" w:rsidRDefault="00000000" w:rsidRPr="00000000" w14:paraId="000000C1">
      <w:pPr>
        <w:spacing w:after="0" w:line="240" w:lineRule="auto"/>
        <w:ind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Questo importo potrà differire da quello inserito nella colonna “concesso” in due circostanze: </w:t>
      </w:r>
    </w:p>
    <w:p w:rsidR="00000000" w:rsidDel="00000000" w:rsidP="00000000" w:rsidRDefault="00000000" w:rsidRPr="00000000" w14:paraId="000000C2">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l’erogato a saldo sarà ridotto rispetto alla concessione originaria;</w:t>
      </w:r>
    </w:p>
    <w:p w:rsidR="00000000" w:rsidDel="00000000" w:rsidP="00000000" w:rsidRDefault="00000000" w:rsidRPr="00000000" w14:paraId="000000C3">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0C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veda art. 9 del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-40631</wp:posOffset>
          </wp:positionV>
          <wp:extent cx="7562850" cy="169545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top w:w="0.0" w:type="dxa"/>
        <w:left w:w="70.0" w:type="dxa"/>
        <w:bottom w:w="0.0" w:type="dxa"/>
        <w:right w:w="70.0" w:type="dxa"/>
      </w:tblCellMar>
    </w:tblPr>
  </w:style>
  <w:style w:type="table" w:styleId="a0" w:customStyle="1">
    <w:basedOn w:val="TableNormal5"/>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mEUIxPZK2QoFG6nyzS7cBah9Q==">AMUW2mVowo5GzwUAWZjtK9k7FjxCxOBpb9YRbtMmdYlG7A26+9lfWQZuhNiQz/h2wLZxJiAFTcP1a2NYMGLOfJEAfeojRFfGpeqBSUDfrk7yadL5hy8qvgFz5h/sKXO97FVgF8YXvOooGf81FjCfQMhz3ntfuwsB+je9U49fF4CSzx4SlU3NsGI=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2020-09-14T04:35:00Z</dcterms:created>
  <dc:creator>LEVANTACI</dc:creator>
</cp:coreProperties>
</file>